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7624" w14:textId="77777777" w:rsidR="003340EE" w:rsidRDefault="003340EE" w:rsidP="003340EE">
      <w:pPr>
        <w:tabs>
          <w:tab w:val="center" w:pos="5077"/>
        </w:tabs>
        <w:spacing w:after="0"/>
        <w:ind w:left="-100"/>
      </w:pPr>
      <w:r>
        <w:rPr>
          <w:noProof/>
        </w:rPr>
        <w:drawing>
          <wp:inline distT="0" distB="0" distL="0" distR="0" wp14:anchorId="52442A9F" wp14:editId="1C2400E9">
            <wp:extent cx="1772368" cy="755129"/>
            <wp:effectExtent l="0" t="0" r="0" b="0"/>
            <wp:docPr id="629039571" name="Picture 629039571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39571" name="Picture 629039571" descr="A close-up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2368" cy="75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72"/>
        </w:rPr>
        <w:tab/>
        <w:t xml:space="preserve">AQ-10 </w:t>
      </w:r>
    </w:p>
    <w:p w14:paraId="06620D90" w14:textId="77777777" w:rsidR="003340EE" w:rsidRDefault="003340EE" w:rsidP="003340EE">
      <w:pPr>
        <w:spacing w:after="0"/>
        <w:ind w:left="37"/>
        <w:jc w:val="center"/>
      </w:pPr>
      <w:r>
        <w:rPr>
          <w:rFonts w:ascii="Arial" w:eastAsia="Arial" w:hAnsi="Arial" w:cs="Arial"/>
          <w:b/>
          <w:sz w:val="28"/>
        </w:rPr>
        <w:t xml:space="preserve">Autism Spectrum Quotient (AQ) </w:t>
      </w:r>
    </w:p>
    <w:p w14:paraId="7AAEEF8D" w14:textId="77777777" w:rsidR="003340EE" w:rsidRDefault="003340EE" w:rsidP="003340EE">
      <w:pPr>
        <w:spacing w:after="0"/>
        <w:ind w:left="2948"/>
      </w:pPr>
      <w:r>
        <w:rPr>
          <w:rFonts w:ascii="Arial" w:eastAsia="Arial" w:hAnsi="Arial" w:cs="Arial"/>
          <w:sz w:val="28"/>
        </w:rPr>
        <w:t xml:space="preserve"> </w:t>
      </w:r>
    </w:p>
    <w:p w14:paraId="2428F4CD" w14:textId="77777777" w:rsidR="003340EE" w:rsidRDefault="003340EE" w:rsidP="003340EE">
      <w:pPr>
        <w:spacing w:after="274" w:line="254" w:lineRule="auto"/>
        <w:ind w:left="111" w:right="174" w:hanging="10"/>
        <w:jc w:val="both"/>
      </w:pPr>
      <w:r>
        <w:rPr>
          <w:rFonts w:ascii="Arial" w:eastAsia="Arial" w:hAnsi="Arial" w:cs="Arial"/>
          <w:i/>
          <w:sz w:val="24"/>
        </w:rPr>
        <w:t xml:space="preserve">A quick referral guide for adults with suspected autism who do not have a learning disability.  </w:t>
      </w:r>
    </w:p>
    <w:tbl>
      <w:tblPr>
        <w:tblStyle w:val="TableGrid0"/>
        <w:tblW w:w="0" w:type="auto"/>
        <w:tblInd w:w="3" w:type="dxa"/>
        <w:tblLayout w:type="fixed"/>
        <w:tblLook w:val="04A0" w:firstRow="1" w:lastRow="0" w:firstColumn="1" w:lastColumn="0" w:noHBand="0" w:noVBand="1"/>
      </w:tblPr>
      <w:tblGrid>
        <w:gridCol w:w="483"/>
        <w:gridCol w:w="5040"/>
        <w:gridCol w:w="1207"/>
        <w:gridCol w:w="1014"/>
        <w:gridCol w:w="1276"/>
        <w:gridCol w:w="1276"/>
      </w:tblGrid>
      <w:tr w:rsidR="00C2744A" w:rsidRPr="001C2D85" w14:paraId="61CB6E8F" w14:textId="77777777" w:rsidTr="00DF2D1F">
        <w:tc>
          <w:tcPr>
            <w:tcW w:w="5040" w:type="dxa"/>
            <w:gridSpan w:val="2"/>
          </w:tcPr>
          <w:p w14:paraId="03EB9ACC" w14:textId="77777777" w:rsidR="000B7E17" w:rsidRPr="002B24A8" w:rsidRDefault="000B7E17">
            <w:pPr>
              <w:rPr>
                <w:rFonts w:ascii="Arial" w:hAnsi="Arial" w:cs="Arial"/>
                <w:b/>
                <w:bCs/>
              </w:rPr>
            </w:pPr>
          </w:p>
          <w:p w14:paraId="6E20A367" w14:textId="009E3245" w:rsidR="00BB33E0" w:rsidRPr="00CE39BD" w:rsidRDefault="00BB33E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E39B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Please tick one option per question only</w:t>
            </w:r>
            <w:r w:rsidR="000B7E17" w:rsidRPr="00CE39B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07" w:type="dxa"/>
          </w:tcPr>
          <w:p w14:paraId="75299AA1" w14:textId="12E8E726" w:rsidR="00BB33E0" w:rsidRPr="002B24A8" w:rsidRDefault="00BB33E0" w:rsidP="00D76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4A8">
              <w:rPr>
                <w:rFonts w:ascii="Arial" w:hAnsi="Arial" w:cs="Arial"/>
                <w:b/>
                <w:bCs/>
              </w:rPr>
              <w:t>Definitely Agree</w:t>
            </w:r>
          </w:p>
        </w:tc>
        <w:tc>
          <w:tcPr>
            <w:tcW w:w="1014" w:type="dxa"/>
          </w:tcPr>
          <w:p w14:paraId="581E0833" w14:textId="3DAF15C2" w:rsidR="00BB33E0" w:rsidRPr="002B24A8" w:rsidRDefault="00BB33E0" w:rsidP="00D76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4A8">
              <w:rPr>
                <w:rFonts w:ascii="Arial" w:hAnsi="Arial" w:cs="Arial"/>
                <w:b/>
                <w:bCs/>
              </w:rPr>
              <w:t>Slightly Agree</w:t>
            </w:r>
          </w:p>
        </w:tc>
        <w:tc>
          <w:tcPr>
            <w:tcW w:w="1276" w:type="dxa"/>
          </w:tcPr>
          <w:p w14:paraId="132D7428" w14:textId="5CE33BC9" w:rsidR="00BB33E0" w:rsidRPr="002B24A8" w:rsidRDefault="00BB33E0" w:rsidP="00D76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4A8">
              <w:rPr>
                <w:rFonts w:ascii="Arial" w:hAnsi="Arial" w:cs="Arial"/>
                <w:b/>
                <w:bCs/>
              </w:rPr>
              <w:t>Slightly Disagree</w:t>
            </w:r>
          </w:p>
        </w:tc>
        <w:tc>
          <w:tcPr>
            <w:tcW w:w="1276" w:type="dxa"/>
          </w:tcPr>
          <w:p w14:paraId="51CDDE06" w14:textId="122D03E0" w:rsidR="00BB33E0" w:rsidRPr="002B24A8" w:rsidRDefault="00BB33E0" w:rsidP="00D76151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4A8">
              <w:rPr>
                <w:rFonts w:ascii="Arial" w:hAnsi="Arial" w:cs="Arial"/>
                <w:b/>
                <w:bCs/>
              </w:rPr>
              <w:t>Definitely Disagree</w:t>
            </w:r>
          </w:p>
        </w:tc>
      </w:tr>
      <w:tr w:rsidR="000B7E17" w14:paraId="4EDF61CF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545D50BF" w14:textId="55BCD84F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5040" w:type="dxa"/>
            <w:shd w:val="clear" w:color="auto" w:fill="D5F0FF"/>
          </w:tcPr>
          <w:p w14:paraId="1AEF7F56" w14:textId="48C33367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I often notice small sounds when others do not </w:t>
            </w:r>
          </w:p>
        </w:tc>
        <w:sdt>
          <w:sdtPr>
            <w:rPr>
              <w:sz w:val="56"/>
              <w:szCs w:val="56"/>
            </w:rPr>
            <w:id w:val="-150318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shd w:val="clear" w:color="auto" w:fill="D9D9D9" w:themeFill="background1" w:themeFillShade="D9"/>
              </w:tcPr>
              <w:p w14:paraId="70F4D8CF" w14:textId="727B5C81" w:rsidR="000B7E17" w:rsidRPr="00C53EAF" w:rsidRDefault="00FF37CB" w:rsidP="00C53EAF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36890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  <w:shd w:val="clear" w:color="auto" w:fill="D9D9D9" w:themeFill="background1" w:themeFillShade="D9"/>
              </w:tcPr>
              <w:p w14:paraId="7C2E83D8" w14:textId="2A6A41C3" w:rsidR="000B7E17" w:rsidRPr="00C53EAF" w:rsidRDefault="00FF37CB" w:rsidP="00C53EAF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733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F84DF0C" w14:textId="75CCD252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44596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76D804A" w14:textId="024A24E5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B7E17" w14:paraId="6A5E17E2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6AB8349D" w14:textId="72D53D5E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2 </w:t>
            </w:r>
          </w:p>
        </w:tc>
        <w:tc>
          <w:tcPr>
            <w:tcW w:w="5040" w:type="dxa"/>
            <w:shd w:val="clear" w:color="auto" w:fill="D5F0FF"/>
          </w:tcPr>
          <w:p w14:paraId="37C752E3" w14:textId="79A043B2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I usually concentrate more on the whole picture, rather than the small details </w:t>
            </w:r>
          </w:p>
        </w:tc>
        <w:sdt>
          <w:sdtPr>
            <w:rPr>
              <w:sz w:val="56"/>
              <w:szCs w:val="56"/>
            </w:rPr>
            <w:id w:val="-41748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</w:tcPr>
              <w:p w14:paraId="74C39EDC" w14:textId="47F1A261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72121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0FB25A4E" w14:textId="29CEE27C" w:rsidR="000B7E17" w:rsidRPr="00C53EAF" w:rsidRDefault="0024748B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16949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483F29E4" w14:textId="482F5CCD" w:rsidR="000B7E17" w:rsidRPr="00C53EAF" w:rsidRDefault="00FF37CB" w:rsidP="00C53EAF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94168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3A36FB93" w14:textId="660F398C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B7E17" w14:paraId="135C02F3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36C71F01" w14:textId="25889A25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</w:tc>
        <w:tc>
          <w:tcPr>
            <w:tcW w:w="5040" w:type="dxa"/>
            <w:shd w:val="clear" w:color="auto" w:fill="D5F0FF"/>
          </w:tcPr>
          <w:p w14:paraId="0FFD4468" w14:textId="048E3DE2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I find it easy to do more than one thing at once </w:t>
            </w:r>
          </w:p>
        </w:tc>
        <w:sdt>
          <w:sdtPr>
            <w:rPr>
              <w:sz w:val="56"/>
              <w:szCs w:val="56"/>
            </w:rPr>
            <w:id w:val="93479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</w:tcPr>
              <w:p w14:paraId="0235F17F" w14:textId="27708E79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8198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6A7E52F3" w14:textId="2F83F844" w:rsidR="000B7E17" w:rsidRPr="00C53EAF" w:rsidRDefault="007B7657" w:rsidP="00C53EAF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23484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0B412EDE" w14:textId="2A1B2B86" w:rsidR="000B7E17" w:rsidRPr="00C53EAF" w:rsidRDefault="007B7657" w:rsidP="00C53EAF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48315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5EAFA50E" w14:textId="5EC05852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B7E17" w14:paraId="1AA9A917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4BE9D73A" w14:textId="7F810377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4 </w:t>
            </w:r>
          </w:p>
        </w:tc>
        <w:tc>
          <w:tcPr>
            <w:tcW w:w="5040" w:type="dxa"/>
            <w:shd w:val="clear" w:color="auto" w:fill="D5F0FF"/>
          </w:tcPr>
          <w:p w14:paraId="64F2B9B0" w14:textId="136EFB46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If there is an interruption, I can switch back to what I was doing very quickly </w:t>
            </w:r>
          </w:p>
        </w:tc>
        <w:sdt>
          <w:sdtPr>
            <w:rPr>
              <w:sz w:val="56"/>
              <w:szCs w:val="56"/>
            </w:rPr>
            <w:id w:val="-96967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</w:tcPr>
              <w:p w14:paraId="4ECA8B2C" w14:textId="2195D4FF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09207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4B4A08F3" w14:textId="03DF6D12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-146041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724636AE" w14:textId="735D8764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sz w:val="56"/>
              <w:szCs w:val="56"/>
            </w:rPr>
            <w:id w:val="142137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0AAC9A57" w14:textId="18A47C71" w:rsidR="000B7E17" w:rsidRPr="00C53EAF" w:rsidRDefault="00671B4C" w:rsidP="00C53EAF">
                <w:pPr>
                  <w:jc w:val="center"/>
                  <w:rPr>
                    <w:sz w:val="56"/>
                    <w:szCs w:val="56"/>
                  </w:rPr>
                </w:pPr>
                <w:r w:rsidRPr="00C53EAF">
                  <w:rPr>
                    <w:rFonts w:ascii="MS Gothic" w:eastAsia="MS Gothic" w:hAnsi="MS Gothic" w:hint="eastAsia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="000B7E17" w14:paraId="6020B285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79C894A5" w14:textId="58C3E93F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5 </w:t>
            </w:r>
          </w:p>
        </w:tc>
        <w:tc>
          <w:tcPr>
            <w:tcW w:w="5040" w:type="dxa"/>
            <w:shd w:val="clear" w:color="auto" w:fill="D5F0FF"/>
          </w:tcPr>
          <w:p w14:paraId="1EFB6E1D" w14:textId="6ED803CE" w:rsidR="000B7E17" w:rsidRDefault="000B7E17" w:rsidP="000B7E17">
            <w:r>
              <w:rPr>
                <w:rFonts w:ascii="Arial" w:eastAsia="Arial" w:hAnsi="Arial" w:cs="Arial"/>
                <w:sz w:val="24"/>
              </w:rPr>
              <w:t xml:space="preserve">I find it easy to ‘read between the lines’ when someone is talking to me </w:t>
            </w:r>
          </w:p>
        </w:tc>
        <w:sdt>
          <w:sdtPr>
            <w:rPr>
              <w:sz w:val="52"/>
              <w:szCs w:val="52"/>
            </w:rPr>
            <w:id w:val="168625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</w:tcPr>
              <w:p w14:paraId="2EBBFEDE" w14:textId="180395F6" w:rsidR="000B7E17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66863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7D2D4431" w14:textId="492FCE67" w:rsidR="000B7E17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20549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4C9DF8D2" w14:textId="1C76BC22" w:rsidR="000B7E17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11032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635F7537" w14:textId="026BB18D" w:rsidR="000B7E17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671B4C" w14:paraId="68C63541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616D759A" w14:textId="38D8F2C3" w:rsidR="00671B4C" w:rsidRDefault="00671B4C" w:rsidP="00671B4C">
            <w:r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  <w:tc>
          <w:tcPr>
            <w:tcW w:w="5040" w:type="dxa"/>
            <w:shd w:val="clear" w:color="auto" w:fill="D5F0FF"/>
          </w:tcPr>
          <w:p w14:paraId="3F457441" w14:textId="75E5F063" w:rsidR="00671B4C" w:rsidRDefault="00671B4C" w:rsidP="00671B4C">
            <w:r>
              <w:rPr>
                <w:rFonts w:ascii="Arial" w:eastAsia="Arial" w:hAnsi="Arial" w:cs="Arial"/>
                <w:sz w:val="24"/>
              </w:rPr>
              <w:t xml:space="preserve">I know how to tell if someone listening to me is getting bored </w:t>
            </w:r>
          </w:p>
        </w:tc>
        <w:sdt>
          <w:sdtPr>
            <w:rPr>
              <w:sz w:val="52"/>
              <w:szCs w:val="52"/>
            </w:rPr>
            <w:id w:val="29388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</w:tcPr>
              <w:p w14:paraId="6689BD40" w14:textId="4ABBEC2C" w:rsidR="00671B4C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44003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4D2E1FB5" w14:textId="4562B223" w:rsidR="00671B4C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94160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7D834C53" w14:textId="16C51F30" w:rsidR="00671B4C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77131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311409BC" w14:textId="03A1E0BF" w:rsidR="00671B4C" w:rsidRPr="00C53EAF" w:rsidRDefault="00671B4C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DB40FF" w14:paraId="3202E6BB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16F5F527" w14:textId="79AA9192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7 </w:t>
            </w:r>
          </w:p>
        </w:tc>
        <w:tc>
          <w:tcPr>
            <w:tcW w:w="5040" w:type="dxa"/>
            <w:shd w:val="clear" w:color="auto" w:fill="D5F0FF"/>
          </w:tcPr>
          <w:p w14:paraId="74CA9A47" w14:textId="1F9F797D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When I’m reading a story I find it difficult to work out the characters’ intentions </w:t>
            </w:r>
          </w:p>
        </w:tc>
        <w:sdt>
          <w:sdtPr>
            <w:rPr>
              <w:sz w:val="52"/>
              <w:szCs w:val="52"/>
            </w:rPr>
            <w:id w:val="-187153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shd w:val="clear" w:color="auto" w:fill="D9D9D9" w:themeFill="background1" w:themeFillShade="D9"/>
              </w:tcPr>
              <w:p w14:paraId="1B8D9014" w14:textId="4B27198B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206417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  <w:shd w:val="clear" w:color="auto" w:fill="D9D9D9" w:themeFill="background1" w:themeFillShade="D9"/>
              </w:tcPr>
              <w:p w14:paraId="20DD1387" w14:textId="152E876F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179333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C42E7BA" w14:textId="4AA981A7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9098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DC0A191" w14:textId="33AED567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DB40FF" w14:paraId="60A1A624" w14:textId="77777777" w:rsidTr="00DF2D1F">
        <w:trPr>
          <w:trHeight w:hRule="exact" w:val="860"/>
        </w:trPr>
        <w:tc>
          <w:tcPr>
            <w:tcW w:w="483" w:type="dxa"/>
            <w:shd w:val="clear" w:color="auto" w:fill="D5F0FF"/>
            <w:vAlign w:val="center"/>
          </w:tcPr>
          <w:p w14:paraId="345A7079" w14:textId="7A362D94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  <w:tc>
          <w:tcPr>
            <w:tcW w:w="5040" w:type="dxa"/>
            <w:shd w:val="clear" w:color="auto" w:fill="D5F0FF"/>
          </w:tcPr>
          <w:p w14:paraId="0C9991F3" w14:textId="0B7F7E6E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I like to collect information about categories of things (e.g. types of car, types of bird, types of train, types of plant etc) </w:t>
            </w:r>
          </w:p>
        </w:tc>
        <w:sdt>
          <w:sdtPr>
            <w:rPr>
              <w:sz w:val="52"/>
              <w:szCs w:val="52"/>
            </w:rPr>
            <w:id w:val="14525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shd w:val="clear" w:color="auto" w:fill="D9D9D9" w:themeFill="background1" w:themeFillShade="D9"/>
              </w:tcPr>
              <w:p w14:paraId="7A80CF65" w14:textId="6A667C68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42303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  <w:shd w:val="clear" w:color="auto" w:fill="D9D9D9" w:themeFill="background1" w:themeFillShade="D9"/>
              </w:tcPr>
              <w:p w14:paraId="3AA157C4" w14:textId="45DD0739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159959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AB0E0A1" w14:textId="4665C733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20111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EA665F1" w14:textId="466BF6BE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DB40FF" w14:paraId="145395EB" w14:textId="77777777" w:rsidTr="00DF2D1F">
        <w:trPr>
          <w:trHeight w:hRule="exact" w:val="588"/>
        </w:trPr>
        <w:tc>
          <w:tcPr>
            <w:tcW w:w="483" w:type="dxa"/>
            <w:shd w:val="clear" w:color="auto" w:fill="D5F0FF"/>
            <w:vAlign w:val="center"/>
          </w:tcPr>
          <w:p w14:paraId="346F99E1" w14:textId="734A55ED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9 </w:t>
            </w:r>
          </w:p>
        </w:tc>
        <w:tc>
          <w:tcPr>
            <w:tcW w:w="5040" w:type="dxa"/>
            <w:shd w:val="clear" w:color="auto" w:fill="D5F0FF"/>
          </w:tcPr>
          <w:p w14:paraId="386F2EAC" w14:textId="05CF5139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I find it easy to work out what someone is thinking or feeling just by looking at their face </w:t>
            </w:r>
          </w:p>
        </w:tc>
        <w:sdt>
          <w:sdtPr>
            <w:rPr>
              <w:sz w:val="52"/>
              <w:szCs w:val="52"/>
            </w:rPr>
            <w:id w:val="-11476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</w:tcPr>
              <w:p w14:paraId="1C5E3F79" w14:textId="4D6BDE0D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195983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66B5C744" w14:textId="591A1F15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181382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66AA7263" w14:textId="2B1D1474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127231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shd w:val="clear" w:color="auto" w:fill="D9D9D9" w:themeFill="background1" w:themeFillShade="D9"/>
              </w:tcPr>
              <w:p w14:paraId="33F33561" w14:textId="5E247901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  <w:tr w:rsidR="00DB40FF" w14:paraId="2B2874C9" w14:textId="77777777" w:rsidTr="00DF2D1F">
        <w:trPr>
          <w:trHeight w:hRule="exact" w:val="680"/>
        </w:trPr>
        <w:tc>
          <w:tcPr>
            <w:tcW w:w="483" w:type="dxa"/>
            <w:shd w:val="clear" w:color="auto" w:fill="D5F0FF"/>
            <w:vAlign w:val="center"/>
          </w:tcPr>
          <w:p w14:paraId="65AB1D61" w14:textId="2733F481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  <w:tc>
          <w:tcPr>
            <w:tcW w:w="5040" w:type="dxa"/>
            <w:shd w:val="clear" w:color="auto" w:fill="D5F0FF"/>
            <w:vAlign w:val="center"/>
          </w:tcPr>
          <w:p w14:paraId="7092F73D" w14:textId="0F37D1CE" w:rsidR="00DB40FF" w:rsidRDefault="00DB40FF" w:rsidP="00DB40FF">
            <w:r>
              <w:rPr>
                <w:rFonts w:ascii="Arial" w:eastAsia="Arial" w:hAnsi="Arial" w:cs="Arial"/>
                <w:sz w:val="24"/>
              </w:rPr>
              <w:t xml:space="preserve">I find it difficult to work out people’s intentions </w:t>
            </w:r>
          </w:p>
        </w:tc>
        <w:sdt>
          <w:sdtPr>
            <w:rPr>
              <w:sz w:val="52"/>
              <w:szCs w:val="52"/>
            </w:rPr>
            <w:id w:val="212911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dxa"/>
                <w:shd w:val="clear" w:color="auto" w:fill="D9D9D9" w:themeFill="background1" w:themeFillShade="D9"/>
              </w:tcPr>
              <w:p w14:paraId="5123D9AB" w14:textId="61580EAF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210641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  <w:shd w:val="clear" w:color="auto" w:fill="D9D9D9" w:themeFill="background1" w:themeFillShade="D9"/>
              </w:tcPr>
              <w:p w14:paraId="67624E5C" w14:textId="3630D2B5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-159424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1650613" w14:textId="79B95B46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sz w:val="52"/>
              <w:szCs w:val="52"/>
            </w:rPr>
            <w:id w:val="214623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A6DAE5" w14:textId="7E2D1044" w:rsidR="00DB40FF" w:rsidRPr="00C53EAF" w:rsidRDefault="00DB40FF" w:rsidP="00C53EAF">
                <w:pPr>
                  <w:jc w:val="center"/>
                  <w:rPr>
                    <w:sz w:val="52"/>
                    <w:szCs w:val="52"/>
                  </w:rPr>
                </w:pPr>
                <w:r w:rsidRPr="00C53EAF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p>
            </w:tc>
          </w:sdtContent>
        </w:sdt>
      </w:tr>
    </w:tbl>
    <w:p w14:paraId="5BE35826" w14:textId="20DADCD4" w:rsidR="003340EE" w:rsidRDefault="003340EE">
      <w:pPr>
        <w:spacing w:after="0"/>
        <w:ind w:left="3"/>
      </w:pPr>
    </w:p>
    <w:p w14:paraId="6B9CEB38" w14:textId="77777777" w:rsidR="001C2D85" w:rsidRDefault="001C2D85" w:rsidP="001C2D85">
      <w:pPr>
        <w:spacing w:after="0" w:line="266" w:lineRule="auto"/>
      </w:pPr>
      <w:r>
        <w:rPr>
          <w:rFonts w:ascii="Arial" w:eastAsia="Arial" w:hAnsi="Arial" w:cs="Arial"/>
        </w:rPr>
        <w:t xml:space="preserve">This test is recommended in ‘Autism: recognition, referral, diagnosis and management of adults on the autism spectrum’ (NICE clinical guideline CG142). </w:t>
      </w:r>
      <w:r>
        <w:rPr>
          <w:rFonts w:ascii="Arial" w:eastAsia="Arial" w:hAnsi="Arial" w:cs="Arial"/>
          <w:color w:val="0000FF"/>
          <w:u w:val="single" w:color="0332FF"/>
        </w:rPr>
        <w:t>www.nice.org.uk/CG142</w:t>
      </w:r>
      <w:r>
        <w:rPr>
          <w:rFonts w:ascii="Arial" w:eastAsia="Arial" w:hAnsi="Arial" w:cs="Arial"/>
        </w:rPr>
        <w:t xml:space="preserve"> </w:t>
      </w:r>
    </w:p>
    <w:p w14:paraId="7DF8AB31" w14:textId="77777777" w:rsidR="001C2D85" w:rsidRDefault="001C2D85" w:rsidP="001C2D8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7CC6DB6" w14:textId="77777777" w:rsidR="001C2D85" w:rsidRDefault="001C2D85" w:rsidP="001C2D85">
      <w:pPr>
        <w:spacing w:after="0" w:line="247" w:lineRule="auto"/>
      </w:pPr>
      <w:r>
        <w:rPr>
          <w:rFonts w:ascii="Arial" w:eastAsia="Arial" w:hAnsi="Arial" w:cs="Arial"/>
          <w:b/>
        </w:rPr>
        <w:t>Key reference:</w:t>
      </w:r>
      <w:r>
        <w:rPr>
          <w:rFonts w:ascii="Arial" w:eastAsia="Arial" w:hAnsi="Arial" w:cs="Arial"/>
        </w:rPr>
        <w:t xml:space="preserve"> Allison C, Auyeung B, and Baron-Cohen S, (2012) </w:t>
      </w:r>
      <w:r>
        <w:rPr>
          <w:rFonts w:ascii="Arial" w:eastAsia="Arial" w:hAnsi="Arial" w:cs="Arial"/>
          <w:i/>
        </w:rPr>
        <w:t>Journal of the American Academy of Child and Adolescent Psychiatry</w:t>
      </w:r>
      <w:r>
        <w:rPr>
          <w:rFonts w:ascii="Arial" w:eastAsia="Arial" w:hAnsi="Arial" w:cs="Arial"/>
        </w:rPr>
        <w:t xml:space="preserve"> 51(2):202-12. </w:t>
      </w:r>
    </w:p>
    <w:p w14:paraId="0899C326" w14:textId="77777777" w:rsidR="001C2D85" w:rsidRDefault="001C2D85" w:rsidP="001C2D85">
      <w:pPr>
        <w:spacing w:after="3" w:line="216" w:lineRule="auto"/>
        <w:ind w:left="-31" w:right="13" w:firstLine="31"/>
      </w:pPr>
      <w:r>
        <w:rPr>
          <w:rFonts w:ascii="Arial" w:eastAsia="Arial" w:hAnsi="Arial" w:cs="Arial"/>
          <w:sz w:val="21"/>
        </w:rPr>
        <w:t xml:space="preserve"> </w:t>
      </w:r>
      <w:r>
        <w:rPr>
          <w:noProof/>
        </w:rPr>
        <w:drawing>
          <wp:inline distT="0" distB="0" distL="0" distR="0" wp14:anchorId="4826DBF6" wp14:editId="15D14BE7">
            <wp:extent cx="2270125" cy="493713"/>
            <wp:effectExtent l="0" t="0" r="0" b="0"/>
            <wp:docPr id="1773832238" name="Picture 1773832238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32238" name="Picture 1773832238" descr="A close up of a sig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49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inline distT="0" distB="0" distL="0" distR="0" wp14:anchorId="1959A71A" wp14:editId="1F6C3D2E">
            <wp:extent cx="3051175" cy="606425"/>
            <wp:effectExtent l="0" t="0" r="0" b="0"/>
            <wp:docPr id="1331952406" name="Picture 1331952406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52406" name="Picture 1331952406" descr="A close 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4F17" w14:textId="77777777" w:rsidR="001C2D85" w:rsidRDefault="001C2D85" w:rsidP="001C2D85">
      <w:pPr>
        <w:spacing w:after="0"/>
        <w:ind w:left="3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 xml:space="preserve">© SBC/CA/BA/ARC/Cambridge University 1/5/12 </w:t>
      </w:r>
    </w:p>
    <w:p w14:paraId="7146E75D" w14:textId="77777777" w:rsidR="001C2D85" w:rsidRDefault="001C2D85" w:rsidP="001C2D85">
      <w:pPr>
        <w:spacing w:after="0"/>
        <w:ind w:left="3"/>
        <w:rPr>
          <w:rFonts w:ascii="Arial" w:eastAsia="Arial" w:hAnsi="Arial" w:cs="Arial"/>
          <w:b/>
          <w:sz w:val="16"/>
        </w:rPr>
      </w:pPr>
    </w:p>
    <w:p w14:paraId="5AA0F326" w14:textId="77777777" w:rsidR="001C2D85" w:rsidRDefault="001C2D85">
      <w:pPr>
        <w:spacing w:after="0"/>
        <w:ind w:left="3"/>
      </w:pPr>
    </w:p>
    <w:sectPr w:rsidR="001C2D85">
      <w:pgSz w:w="11900" w:h="16840"/>
      <w:pgMar w:top="1440" w:right="905" w:bottom="1440" w:left="8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7C"/>
    <w:rsid w:val="00055567"/>
    <w:rsid w:val="000B7E17"/>
    <w:rsid w:val="00106335"/>
    <w:rsid w:val="001C2D85"/>
    <w:rsid w:val="0020255F"/>
    <w:rsid w:val="0024748B"/>
    <w:rsid w:val="002B24A8"/>
    <w:rsid w:val="002D7BFD"/>
    <w:rsid w:val="003340EE"/>
    <w:rsid w:val="00334366"/>
    <w:rsid w:val="004B59A0"/>
    <w:rsid w:val="00671B4C"/>
    <w:rsid w:val="007B7657"/>
    <w:rsid w:val="00805D29"/>
    <w:rsid w:val="008B070C"/>
    <w:rsid w:val="00A45A62"/>
    <w:rsid w:val="00A6687C"/>
    <w:rsid w:val="00B018F9"/>
    <w:rsid w:val="00BB33E0"/>
    <w:rsid w:val="00C2744A"/>
    <w:rsid w:val="00C53EAF"/>
    <w:rsid w:val="00CE39BD"/>
    <w:rsid w:val="00D237DF"/>
    <w:rsid w:val="00D76151"/>
    <w:rsid w:val="00DB40FF"/>
    <w:rsid w:val="00DF2D1F"/>
    <w:rsid w:val="00F46DA4"/>
    <w:rsid w:val="00F57485"/>
    <w:rsid w:val="00FB6992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CB4D"/>
  <w15:docId w15:val="{4BFA447F-71B4-4A37-9B3F-577D4FC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3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AQ-10 Adult june 20th 2012.pptx</dc:title>
  <dc:subject/>
  <dc:creator>Simon Baron-Cohen</dc:creator>
  <cp:keywords/>
  <cp:lastModifiedBy>Marnie  Rawlins</cp:lastModifiedBy>
  <cp:revision>2</cp:revision>
  <dcterms:created xsi:type="dcterms:W3CDTF">2025-11-25T08:24:00Z</dcterms:created>
  <dcterms:modified xsi:type="dcterms:W3CDTF">2025-11-25T08:24:00Z</dcterms:modified>
</cp:coreProperties>
</file>